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2F9" w:rsidRDefault="00E462F9">
      <w:pPr>
        <w:pStyle w:val="Bodytext40"/>
        <w:widowControl/>
        <w:shd w:val="clear" w:color="auto" w:fill="auto"/>
        <w:spacing w:line="240" w:lineRule="auto"/>
        <w:ind w:left="3969"/>
        <w:rPr>
          <w:b w:val="0"/>
          <w:sz w:val="28"/>
        </w:rPr>
      </w:pPr>
    </w:p>
    <w:p w:rsidR="00845CC0" w:rsidRDefault="00845CC0">
      <w:pPr>
        <w:pStyle w:val="Bodytext40"/>
        <w:widowControl/>
        <w:shd w:val="clear" w:color="auto" w:fill="auto"/>
        <w:spacing w:line="240" w:lineRule="auto"/>
        <w:ind w:left="3969"/>
        <w:rPr>
          <w:b w:val="0"/>
          <w:sz w:val="28"/>
        </w:rPr>
      </w:pPr>
    </w:p>
    <w:p w:rsidR="00E462F9" w:rsidRDefault="00845CC0">
      <w:pPr>
        <w:pStyle w:val="Bodytext40"/>
        <w:widowControl/>
        <w:shd w:val="clear" w:color="auto" w:fill="auto"/>
        <w:spacing w:line="240" w:lineRule="auto"/>
        <w:ind w:left="3969"/>
        <w:rPr>
          <w:b w:val="0"/>
          <w:sz w:val="28"/>
        </w:rPr>
      </w:pPr>
      <w:r>
        <w:rPr>
          <w:b w:val="0"/>
          <w:sz w:val="28"/>
        </w:rPr>
        <w:t>УТВЕРЖДЕНО</w:t>
      </w:r>
    </w:p>
    <w:p w:rsidR="00447CCF" w:rsidRDefault="00447CCF">
      <w:pPr>
        <w:pStyle w:val="Bodytext40"/>
        <w:widowControl/>
        <w:shd w:val="clear" w:color="auto" w:fill="auto"/>
        <w:spacing w:line="240" w:lineRule="auto"/>
        <w:ind w:left="3969"/>
        <w:rPr>
          <w:b w:val="0"/>
          <w:sz w:val="28"/>
        </w:rPr>
      </w:pPr>
      <w:r>
        <w:rPr>
          <w:b w:val="0"/>
          <w:sz w:val="28"/>
        </w:rPr>
        <w:t>Решением Совета директоров</w:t>
      </w:r>
    </w:p>
    <w:p w:rsidR="00E462F9" w:rsidRDefault="009F043F">
      <w:pPr>
        <w:pStyle w:val="Bodytext40"/>
        <w:widowControl/>
        <w:shd w:val="clear" w:color="auto" w:fill="auto"/>
        <w:spacing w:line="240" w:lineRule="auto"/>
        <w:ind w:left="3969"/>
        <w:rPr>
          <w:b w:val="0"/>
          <w:sz w:val="28"/>
        </w:rPr>
      </w:pPr>
      <w:r>
        <w:rPr>
          <w:b w:val="0"/>
          <w:sz w:val="28"/>
        </w:rPr>
        <w:t xml:space="preserve"> </w:t>
      </w:r>
      <w:r w:rsidR="00C37B81">
        <w:rPr>
          <w:b w:val="0"/>
          <w:sz w:val="28"/>
        </w:rPr>
        <w:t>ПА</w:t>
      </w:r>
      <w:r>
        <w:rPr>
          <w:b w:val="0"/>
          <w:sz w:val="28"/>
        </w:rPr>
        <w:t>О «Газпром газ</w:t>
      </w:r>
      <w:r w:rsidR="00C37B81">
        <w:rPr>
          <w:b w:val="0"/>
          <w:sz w:val="28"/>
        </w:rPr>
        <w:t>ораспределение</w:t>
      </w:r>
      <w:r w:rsidR="00447CCF">
        <w:rPr>
          <w:b w:val="0"/>
          <w:sz w:val="28"/>
        </w:rPr>
        <w:t xml:space="preserve"> Уфа</w:t>
      </w:r>
      <w:r>
        <w:rPr>
          <w:b w:val="0"/>
          <w:sz w:val="28"/>
        </w:rPr>
        <w:t>»</w:t>
      </w:r>
    </w:p>
    <w:p w:rsidR="00E462F9" w:rsidRDefault="00845CC0" w:rsidP="00845CC0">
      <w:pPr>
        <w:pStyle w:val="Bodytext40"/>
        <w:widowControl/>
        <w:shd w:val="clear" w:color="auto" w:fill="auto"/>
        <w:spacing w:line="240" w:lineRule="auto"/>
        <w:ind w:left="3969"/>
        <w:rPr>
          <w:b w:val="0"/>
          <w:sz w:val="28"/>
        </w:rPr>
      </w:pPr>
      <w:r>
        <w:rPr>
          <w:b w:val="0"/>
          <w:sz w:val="28"/>
        </w:rPr>
        <w:t>от «26</w:t>
      </w:r>
      <w:r w:rsidR="009F043F">
        <w:rPr>
          <w:b w:val="0"/>
          <w:sz w:val="28"/>
        </w:rPr>
        <w:t xml:space="preserve">» </w:t>
      </w:r>
      <w:r>
        <w:rPr>
          <w:b w:val="0"/>
          <w:sz w:val="28"/>
        </w:rPr>
        <w:t>июля 2024 г.</w:t>
      </w:r>
    </w:p>
    <w:p w:rsidR="00845CC0" w:rsidRDefault="00845CC0" w:rsidP="00845CC0">
      <w:pPr>
        <w:pStyle w:val="Bodytext40"/>
        <w:widowControl/>
        <w:shd w:val="clear" w:color="auto" w:fill="auto"/>
        <w:spacing w:line="240" w:lineRule="auto"/>
        <w:ind w:left="3969"/>
        <w:rPr>
          <w:sz w:val="28"/>
        </w:rPr>
      </w:pPr>
      <w:r>
        <w:rPr>
          <w:b w:val="0"/>
          <w:sz w:val="28"/>
        </w:rPr>
        <w:t>(Протокол № 2 от 26.07.2024)</w:t>
      </w:r>
      <w:bookmarkStart w:id="0" w:name="_GoBack"/>
      <w:bookmarkEnd w:id="0"/>
    </w:p>
    <w:p w:rsidR="00E462F9" w:rsidRDefault="00E462F9">
      <w:pPr>
        <w:pStyle w:val="1"/>
      </w:pPr>
    </w:p>
    <w:p w:rsidR="00E462F9" w:rsidRDefault="00E462F9"/>
    <w:p w:rsidR="00E462F9" w:rsidRDefault="00E462F9"/>
    <w:p w:rsidR="00E462F9" w:rsidRDefault="00E462F9"/>
    <w:p w:rsidR="00E462F9" w:rsidRDefault="00E462F9"/>
    <w:p w:rsidR="00E462F9" w:rsidRDefault="00E462F9"/>
    <w:p w:rsidR="00E462F9" w:rsidRDefault="00E462F9"/>
    <w:p w:rsidR="00E462F9" w:rsidRDefault="00E462F9"/>
    <w:p w:rsidR="00E462F9" w:rsidRDefault="00E462F9"/>
    <w:p w:rsidR="00E462F9" w:rsidRDefault="00E462F9"/>
    <w:p w:rsidR="00E462F9" w:rsidRDefault="00E462F9"/>
    <w:p w:rsidR="00E462F9" w:rsidRDefault="00E462F9">
      <w:pPr>
        <w:pStyle w:val="1"/>
      </w:pPr>
    </w:p>
    <w:p w:rsidR="00E462F9" w:rsidRDefault="00E462F9"/>
    <w:p w:rsidR="00E462F9" w:rsidRDefault="00E462F9">
      <w:pPr>
        <w:pStyle w:val="1"/>
      </w:pPr>
    </w:p>
    <w:p w:rsidR="00E462F9" w:rsidRDefault="00E462F9">
      <w:pPr>
        <w:pStyle w:val="1"/>
      </w:pPr>
    </w:p>
    <w:p w:rsidR="00E462F9" w:rsidRDefault="00447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447CCF" w:rsidRDefault="009F043F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Комиссии по непрофильным активам </w:t>
      </w:r>
      <w:r w:rsidR="00447CCF">
        <w:rPr>
          <w:b/>
          <w:sz w:val="28"/>
          <w:szCs w:val="28"/>
        </w:rPr>
        <w:t xml:space="preserve">  </w:t>
      </w:r>
    </w:p>
    <w:p w:rsidR="00E462F9" w:rsidRDefault="00C37B81">
      <w:pPr>
        <w:spacing w:after="120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ПА</w:t>
      </w:r>
      <w:r w:rsidR="00447CCF">
        <w:rPr>
          <w:b/>
          <w:sz w:val="28"/>
          <w:szCs w:val="28"/>
        </w:rPr>
        <w:t>О «Газпром газ</w:t>
      </w:r>
      <w:r>
        <w:rPr>
          <w:b/>
          <w:sz w:val="28"/>
          <w:szCs w:val="28"/>
        </w:rPr>
        <w:t>ораспределение</w:t>
      </w:r>
      <w:r w:rsidR="00447CCF">
        <w:rPr>
          <w:b/>
          <w:sz w:val="28"/>
          <w:szCs w:val="28"/>
        </w:rPr>
        <w:t xml:space="preserve"> Уфа»</w:t>
      </w:r>
      <w:r w:rsidR="009F043F">
        <w:br w:type="page" w:clear="all"/>
      </w:r>
      <w:r w:rsidR="009F043F">
        <w:rPr>
          <w:b/>
          <w:bCs/>
          <w:sz w:val="28"/>
        </w:rPr>
        <w:lastRenderedPageBreak/>
        <w:t>1. Общие положения</w:t>
      </w:r>
    </w:p>
    <w:p w:rsidR="00E462F9" w:rsidRDefault="009F043F">
      <w:pPr>
        <w:pStyle w:val="1"/>
        <w:ind w:firstLine="709"/>
        <w:jc w:val="both"/>
        <w:rPr>
          <w:b w:val="0"/>
        </w:rPr>
      </w:pPr>
      <w:r>
        <w:rPr>
          <w:b w:val="0"/>
        </w:rPr>
        <w:t xml:space="preserve">Настоящее Положение о Комиссии по непрофильным активам </w:t>
      </w:r>
      <w:r w:rsidR="00C37B81">
        <w:rPr>
          <w:b w:val="0"/>
        </w:rPr>
        <w:t>ПА</w:t>
      </w:r>
      <w:r w:rsidR="00447CCF">
        <w:rPr>
          <w:b w:val="0"/>
        </w:rPr>
        <w:t>О «Газпром газ</w:t>
      </w:r>
      <w:r w:rsidR="00C37B81">
        <w:rPr>
          <w:b w:val="0"/>
        </w:rPr>
        <w:t>ораспределение</w:t>
      </w:r>
      <w:r w:rsidR="00447CCF">
        <w:rPr>
          <w:b w:val="0"/>
        </w:rPr>
        <w:t xml:space="preserve"> Уфа» </w:t>
      </w:r>
      <w:r>
        <w:rPr>
          <w:b w:val="0"/>
        </w:rPr>
        <w:t xml:space="preserve">(далее – Положение) определяет цели, задачи, организацию деятельности комиссии </w:t>
      </w:r>
      <w:r w:rsidR="00C37B81">
        <w:rPr>
          <w:b w:val="0"/>
        </w:rPr>
        <w:t xml:space="preserve">ПАО «Газпром газораспределение Уфа» </w:t>
      </w:r>
      <w:r>
        <w:rPr>
          <w:b w:val="0"/>
        </w:rPr>
        <w:t>(далее – Общество) по непрофильным активам (далее – Комиссия), права и обязанности председателя, заместителя председателя, секретаря и членов Комиссии, а также порядок предоставления отчетов о ходе ее работы.</w:t>
      </w:r>
    </w:p>
    <w:p w:rsidR="00E462F9" w:rsidRDefault="009F043F">
      <w:pPr>
        <w:pStyle w:val="1"/>
        <w:ind w:firstLine="709"/>
        <w:jc w:val="both"/>
        <w:rPr>
          <w:b w:val="0"/>
        </w:rPr>
      </w:pPr>
      <w:r>
        <w:rPr>
          <w:b w:val="0"/>
        </w:rPr>
        <w:t xml:space="preserve">Требования настоящего Положения обязательны для применения </w:t>
      </w:r>
      <w:r>
        <w:rPr>
          <w:b w:val="0"/>
        </w:rPr>
        <w:br/>
        <w:t xml:space="preserve">при отчуждении непрофильных активов Общества, дочерних обществ </w:t>
      </w:r>
      <w:r>
        <w:rPr>
          <w:b w:val="0"/>
        </w:rPr>
        <w:br/>
        <w:t>и подконтрольных Обществу организаций.</w:t>
      </w:r>
    </w:p>
    <w:p w:rsidR="00E462F9" w:rsidRDefault="009F043F">
      <w:pPr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Общество обеспечивает утверждение локальных нормативных актов (положений), регламентирующих в соответствии с настоящим Положением порядок работы комиссий по непрофильным активам в дочерних обществах, а также в объектах вложений дочерних обществ, являющихся подконтрольными Обществу организациями (далее </w:t>
      </w:r>
      <w:r w:rsidR="00512DAE">
        <w:rPr>
          <w:sz w:val="28"/>
          <w:szCs w:val="28"/>
        </w:rPr>
        <w:t>–</w:t>
      </w:r>
      <w:r>
        <w:rPr>
          <w:sz w:val="28"/>
          <w:szCs w:val="28"/>
        </w:rPr>
        <w:t xml:space="preserve"> подконтрольные Обществу организации).</w:t>
      </w:r>
    </w:p>
    <w:p w:rsidR="00E462F9" w:rsidRDefault="009F04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 интересов Общества, дочерних обществ и подконтрольных Обществу организаций в органах управления дочерних обществ и подконтрольных Обществу организаций обеспечивают на основе настоящего Положения утверждение локальных нормативных актов (положений), регламентирующих порядок работы комиссий по непрофильным активам </w:t>
      </w:r>
      <w:r>
        <w:rPr>
          <w:sz w:val="28"/>
          <w:szCs w:val="28"/>
        </w:rPr>
        <w:br/>
        <w:t>в таких дочерних обществах и подконтрольных Обществу организациях.</w:t>
      </w:r>
    </w:p>
    <w:p w:rsidR="00E462F9" w:rsidRDefault="009F043F">
      <w:pPr>
        <w:spacing w:before="240" w:after="120"/>
        <w:jc w:val="center"/>
        <w:rPr>
          <w:b/>
          <w:bCs/>
          <w:sz w:val="28"/>
        </w:rPr>
      </w:pPr>
      <w:r>
        <w:rPr>
          <w:b/>
          <w:bCs/>
          <w:sz w:val="28"/>
        </w:rPr>
        <w:t>2. Основные задачи Комиссии</w:t>
      </w:r>
    </w:p>
    <w:p w:rsidR="00E462F9" w:rsidRDefault="009F043F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2.1. Комиссия создается в целях обеспечения реализации Стратегии </w:t>
      </w:r>
      <w:r>
        <w:rPr>
          <w:spacing w:val="-4"/>
          <w:sz w:val="28"/>
        </w:rPr>
        <w:br/>
        <w:t>по управлению имуществом и иными активами ПАО «Газпром» и Программы отчуждения непрофильных активов ПАО «Газпром», утверждаемых ПАО «Газпром».</w:t>
      </w:r>
    </w:p>
    <w:p w:rsidR="00E462F9" w:rsidRDefault="009F043F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Комиссия в своей деятельности руководствуется законодательством Российской Федерации, локальными нормативными актами ПАО «Газпром», </w:t>
      </w:r>
      <w:r>
        <w:rPr>
          <w:spacing w:val="-4"/>
          <w:sz w:val="28"/>
        </w:rPr>
        <w:br/>
        <w:t xml:space="preserve">ООО «Газпром межрегионгаз» и Общества, в том числе актуальным Положением о порядке отчуждения непрофильных активов ПАО «Газпром» и организаций Группы Газпром, Положением о Комиссии ПАО «Газпром» по непрофильным активам, Положением о порядке отчуждения непрофильных активов ООО «Газпром межрегионгаз», Положением о порядке отчуждения непрофильных активов Общества и настоящим Положением. 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pacing w:val="-4"/>
          <w:sz w:val="28"/>
        </w:rPr>
        <w:t>2.2.Основной задачей Комиссии является принятие решений об отнесении активов,</w:t>
      </w:r>
      <w:r>
        <w:rPr>
          <w:sz w:val="28"/>
        </w:rPr>
        <w:t xml:space="preserve"> принадлежащих Обществу, балансовая (остаточная) стоимость которых по данным бухгалтерского учета, или рыночная стоимость, или кадастровая стоимость (для земельных участков)</w:t>
      </w:r>
      <w:r w:rsidR="00FB1E1C">
        <w:rPr>
          <w:rStyle w:val="afa"/>
          <w:sz w:val="28"/>
        </w:rPr>
        <w:footnoteReference w:id="1"/>
      </w:r>
      <w:r>
        <w:rPr>
          <w:sz w:val="28"/>
        </w:rPr>
        <w:t xml:space="preserve"> составляет менее 30 (тридцати) миллионов </w:t>
      </w:r>
      <w:r>
        <w:rPr>
          <w:sz w:val="28"/>
        </w:rPr>
        <w:lastRenderedPageBreak/>
        <w:t>рублей с учетом НДС, к категории непрофильных активов, а также определение порядка их реализации.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2.3. Для выполнения возложенной на нее задачи Комиссия определяет критерии отнесения активов к категории непрофильных, а также принимает следующие решения: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- об отнесении активов к категории непрофильных активов;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- о признании непрофильных активов подлежащими/не подлежащими отчуждению;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- о целесообразности применения тех или иных способов отчуждения непрофильных активов;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- об определении условий отчуждения непрофильных активов;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- о необходимости проведения предпродажной подготовки непрофильных активов, в том числе оценки их рыночной стоимости.</w:t>
      </w:r>
    </w:p>
    <w:p w:rsidR="00E462F9" w:rsidRDefault="009F043F">
      <w:pPr>
        <w:keepNext/>
        <w:spacing w:before="240" w:after="120"/>
        <w:jc w:val="center"/>
        <w:rPr>
          <w:b/>
          <w:bCs/>
          <w:sz w:val="28"/>
        </w:rPr>
      </w:pPr>
      <w:r>
        <w:rPr>
          <w:b/>
          <w:bCs/>
          <w:sz w:val="28"/>
        </w:rPr>
        <w:t>3. Организация деятельности Комиссии</w:t>
      </w:r>
    </w:p>
    <w:p w:rsidR="00E462F9" w:rsidRDefault="009F043F">
      <w:pPr>
        <w:pStyle w:val="25"/>
        <w:ind w:firstLine="709"/>
      </w:pPr>
      <w:r>
        <w:t xml:space="preserve">3.1. Персональный состав Комиссии утверждается приказом Общества </w:t>
      </w:r>
      <w:r>
        <w:br/>
        <w:t xml:space="preserve">(в состав Комиссии включаются, в частности, заместители </w:t>
      </w:r>
      <w:r w:rsidR="00447CCF">
        <w:t>генерального директора</w:t>
      </w:r>
      <w:r>
        <w:t xml:space="preserve"> Общества и/или представители подразделений, </w:t>
      </w:r>
      <w:r>
        <w:br/>
        <w:t xml:space="preserve">к компетенции которых относятся вопросы, связанные с управлением </w:t>
      </w:r>
      <w:r>
        <w:br/>
        <w:t xml:space="preserve">и реализацией имущества Общества, бухгалтерским учетом, налоговым учетом и налоговой отчетностью в Обществе,  вопросы юридического сопровождения </w:t>
      </w:r>
      <w:r>
        <w:rPr>
          <w:spacing w:val="-4"/>
        </w:rPr>
        <w:t>деятельности Общества, финансово-экономической деятельности, корпоративной</w:t>
      </w:r>
      <w:r>
        <w:t xml:space="preserve"> защиты, транспортно-хозяйственного обеспечения деятельности Общества). </w:t>
      </w:r>
    </w:p>
    <w:p w:rsidR="00E462F9" w:rsidRDefault="009F043F">
      <w:pPr>
        <w:pStyle w:val="25"/>
        <w:ind w:firstLine="709"/>
      </w:pPr>
      <w:r>
        <w:t xml:space="preserve">В качестве ассоциированного члена (наблюдателя), участвующего </w:t>
      </w:r>
      <w:r>
        <w:br/>
        <w:t xml:space="preserve">в заседаниях Комиссии без права голоса, в состав Комиссии включается представитель структурного подразделения Общества, основной задачей которого является предоставление независимых и объективных гарантий </w:t>
      </w:r>
      <w:r>
        <w:br/>
        <w:t xml:space="preserve">и консультаций, направленных на совершенствование деятельности Общества. </w:t>
      </w:r>
    </w:p>
    <w:p w:rsidR="00E462F9" w:rsidRDefault="009F043F">
      <w:pPr>
        <w:pStyle w:val="25"/>
        <w:ind w:firstLine="709"/>
      </w:pPr>
      <w:r>
        <w:t xml:space="preserve">3.2. Вопросы об отнесении активов к категории непрофильных активов вносятся на рассмотрение Комиссии </w:t>
      </w:r>
      <w:r>
        <w:rPr>
          <w:szCs w:val="28"/>
        </w:rPr>
        <w:t>по инициативе органов управления ПАО «Газпром», ООО «Газпром межрегионгаз», Общества, заместителей Председателя Правления ПАО «Газпром», руководства ООО «Газпром межрегионгаз» и Общества.</w:t>
      </w:r>
    </w:p>
    <w:p w:rsidR="00E462F9" w:rsidRDefault="009F043F">
      <w:pPr>
        <w:pStyle w:val="25"/>
        <w:ind w:firstLine="709"/>
      </w:pPr>
      <w:r>
        <w:t xml:space="preserve">3.3. Общество перед представлением материалов на рассмотрение Комиссии ПАО «Газпром» предоставляет в ООО «Газпром межрегионгаз» обоснование целесообразности отчуждения актива, а также предполагаемого способа его отчуждения в целях их дальнейшего согласования ООО «Газпром межрегионгаз» со структурными подразделениями ПАО «Газпром», ответственными за осуществление контроля за обеспечением эффективности долгосрочных финансовых вложений ПАО «Газпром» в соответствующие дочерние общества ПАО «Газпром», которым подконтрольно Общество (далее – ответственное подразделение ПАО «Газпром»). </w:t>
      </w:r>
    </w:p>
    <w:p w:rsidR="00E462F9" w:rsidRDefault="009F043F">
      <w:pPr>
        <w:pStyle w:val="25"/>
        <w:ind w:firstLine="709"/>
      </w:pPr>
      <w:r>
        <w:t xml:space="preserve">Представление материалов на рассмотрение Комиссии ПАО «Газпром» осуществляется ООО «Газпром межрегионгаз», в том числе в отношении активов Общества, дочерних обществ и подконтрольных Обществу организаций </w:t>
      </w:r>
      <w:r>
        <w:lastRenderedPageBreak/>
        <w:t xml:space="preserve">Группы Газпром межрегионгаз, в порядке, установленном </w:t>
      </w:r>
      <w:r>
        <w:rPr>
          <w:spacing w:val="-4"/>
        </w:rPr>
        <w:t xml:space="preserve">Положением о порядке отчуждения непрофильных активов Общества, а также дочернего общества </w:t>
      </w:r>
      <w:r>
        <w:rPr>
          <w:spacing w:val="-4"/>
        </w:rPr>
        <w:br/>
        <w:t>или подконтрольной Обществу организации (в отношении принадлежащих соответствующей организации активов)</w:t>
      </w:r>
      <w:r>
        <w:t xml:space="preserve">. </w:t>
      </w:r>
    </w:p>
    <w:p w:rsidR="00E462F9" w:rsidRDefault="009F043F">
      <w:pPr>
        <w:pStyle w:val="13"/>
        <w:widowControl/>
        <w:spacing w:line="240" w:lineRule="auto"/>
        <w:ind w:firstLine="709"/>
        <w:jc w:val="both"/>
        <w:rPr>
          <w:sz w:val="28"/>
          <w:szCs w:val="28"/>
        </w:rPr>
      </w:pPr>
      <w:r w:rsidRPr="008F6722">
        <w:rPr>
          <w:sz w:val="28"/>
          <w:szCs w:val="28"/>
        </w:rPr>
        <w:t xml:space="preserve">Для внесения вопроса об отнесении принадлежащих Обществу, дочерним обществам и подконтрольным Обществу организациям активов к категории непрофильных активов на рассмотрение Комиссии Общества, Комиссии дочернего общества или Комиссии подконтрольной Обществу организации в случаях, предусмотренных Положением соответствующей организации </w:t>
      </w:r>
      <w:r w:rsidR="008F6722">
        <w:rPr>
          <w:sz w:val="28"/>
          <w:szCs w:val="28"/>
        </w:rPr>
        <w:br/>
      </w:r>
      <w:r w:rsidRPr="008F6722">
        <w:rPr>
          <w:spacing w:val="-4"/>
          <w:sz w:val="28"/>
        </w:rPr>
        <w:t>о порядке отчуждения непрофильных активов</w:t>
      </w:r>
      <w:r w:rsidRPr="008F6722">
        <w:rPr>
          <w:sz w:val="28"/>
          <w:szCs w:val="28"/>
        </w:rPr>
        <w:t>, инициатором предоставляются докуме</w:t>
      </w:r>
      <w:r w:rsidR="00F043E0" w:rsidRPr="008F6722">
        <w:rPr>
          <w:sz w:val="28"/>
          <w:szCs w:val="28"/>
        </w:rPr>
        <w:t xml:space="preserve">нты и информация, определенные </w:t>
      </w:r>
      <w:r w:rsidRPr="008F6722">
        <w:rPr>
          <w:sz w:val="28"/>
          <w:szCs w:val="28"/>
        </w:rPr>
        <w:t xml:space="preserve">требованиями Положения соответствующей организации </w:t>
      </w:r>
      <w:r w:rsidRPr="008F6722">
        <w:rPr>
          <w:spacing w:val="-4"/>
          <w:sz w:val="28"/>
        </w:rPr>
        <w:t>о порядке отчуждения непрофильных активов</w:t>
      </w:r>
      <w:r w:rsidRPr="008F6722">
        <w:rPr>
          <w:sz w:val="28"/>
          <w:szCs w:val="28"/>
        </w:rPr>
        <w:t>.</w:t>
      </w:r>
    </w:p>
    <w:p w:rsidR="00E462F9" w:rsidRDefault="009F043F">
      <w:pPr>
        <w:pStyle w:val="13"/>
        <w:widowControl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в данном случае предоставляются согласованные</w:t>
      </w:r>
      <w:r>
        <w:rPr>
          <w:sz w:val="28"/>
          <w:szCs w:val="28"/>
        </w:rPr>
        <w:br/>
        <w:t xml:space="preserve">с ответственным подразделением Общества, дочернего общества </w:t>
      </w:r>
      <w:r>
        <w:rPr>
          <w:sz w:val="28"/>
          <w:szCs w:val="28"/>
        </w:rPr>
        <w:br/>
        <w:t xml:space="preserve">или подконтрольной Обществу организации, на которое возложена ответственность по осуществлению контроля за обеспечением эффективности долгосрочных финансовых вложений Общества, дочернего Общества </w:t>
      </w:r>
      <w:r>
        <w:rPr>
          <w:sz w:val="28"/>
          <w:szCs w:val="28"/>
        </w:rPr>
        <w:br/>
        <w:t xml:space="preserve">или подконтрольной Обществу организации соответственно, обоснование </w:t>
      </w:r>
      <w:r>
        <w:rPr>
          <w:spacing w:val="-6"/>
          <w:sz w:val="28"/>
          <w:szCs w:val="28"/>
        </w:rPr>
        <w:t>целесообразности отчуждения актива, а также предполагаемого</w:t>
      </w:r>
      <w:r>
        <w:rPr>
          <w:sz w:val="28"/>
          <w:szCs w:val="28"/>
        </w:rPr>
        <w:t xml:space="preserve"> способа </w:t>
      </w:r>
      <w:r>
        <w:rPr>
          <w:sz w:val="28"/>
          <w:szCs w:val="28"/>
        </w:rPr>
        <w:br/>
        <w:t>его отчуждения и предложения о составе предпродажной подготовки актива и необходимости оценки его рыночной стоимости (</w:t>
      </w:r>
      <w:r w:rsidR="008F6722">
        <w:rPr>
          <w:sz w:val="28"/>
          <w:szCs w:val="28"/>
        </w:rPr>
        <w:t xml:space="preserve">при этом </w:t>
      </w:r>
      <w:r>
        <w:rPr>
          <w:sz w:val="28"/>
          <w:szCs w:val="28"/>
        </w:rPr>
        <w:t xml:space="preserve">согласование указанных обоснования и предложений ответственным подразделением </w:t>
      </w:r>
      <w:r w:rsidR="008F6722">
        <w:rPr>
          <w:sz w:val="28"/>
          <w:szCs w:val="28"/>
        </w:rPr>
        <w:br/>
        <w:t xml:space="preserve">ПАО «Газпром» </w:t>
      </w:r>
      <w:r>
        <w:rPr>
          <w:sz w:val="28"/>
          <w:szCs w:val="28"/>
        </w:rPr>
        <w:t>не предоставляется</w:t>
      </w:r>
      <w:r w:rsidR="008F6722">
        <w:rPr>
          <w:sz w:val="28"/>
          <w:szCs w:val="28"/>
        </w:rPr>
        <w:t xml:space="preserve"> в случаях, установленных </w:t>
      </w:r>
      <w:r w:rsidR="008F6722" w:rsidRPr="008F6722">
        <w:rPr>
          <w:sz w:val="28"/>
          <w:szCs w:val="28"/>
        </w:rPr>
        <w:t xml:space="preserve">Положением соответствующей организации </w:t>
      </w:r>
      <w:r w:rsidR="008F6722" w:rsidRPr="008F6722">
        <w:rPr>
          <w:spacing w:val="-4"/>
          <w:sz w:val="28"/>
        </w:rPr>
        <w:t>о порядке отчуждения непрофильных активов</w:t>
      </w:r>
      <w:r>
        <w:rPr>
          <w:sz w:val="28"/>
          <w:szCs w:val="28"/>
        </w:rPr>
        <w:t>).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3.</w:t>
      </w:r>
      <w:r w:rsidR="00F043E0">
        <w:rPr>
          <w:sz w:val="28"/>
        </w:rPr>
        <w:t>4</w:t>
      </w:r>
      <w:r>
        <w:rPr>
          <w:sz w:val="28"/>
        </w:rPr>
        <w:t>. Комиссия имеет право по вопросам, входящим в ее компетенцию: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pacing w:val="-8"/>
          <w:sz w:val="28"/>
        </w:rPr>
        <w:t xml:space="preserve">- запрашивать у структурных подразделений Общества, дочерних обществ </w:t>
      </w:r>
      <w:r>
        <w:rPr>
          <w:spacing w:val="-8"/>
          <w:sz w:val="28"/>
        </w:rPr>
        <w:br/>
        <w:t>и подконтрольных Обществу организаций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необходимые для ее деятельности документы, материалы и информацию;</w:t>
      </w:r>
    </w:p>
    <w:p w:rsidR="00E462F9" w:rsidRDefault="009F043F">
      <w:pPr>
        <w:ind w:firstLine="709"/>
        <w:jc w:val="both"/>
      </w:pPr>
      <w:r>
        <w:rPr>
          <w:spacing w:val="-10"/>
          <w:sz w:val="28"/>
        </w:rPr>
        <w:t>- устанавливать для структурных подразделений</w:t>
      </w:r>
      <w:r>
        <w:rPr>
          <w:spacing w:val="-4"/>
          <w:sz w:val="28"/>
        </w:rPr>
        <w:t xml:space="preserve"> Общества,</w:t>
      </w:r>
      <w:r>
        <w:rPr>
          <w:spacing w:val="-8"/>
          <w:sz w:val="28"/>
        </w:rPr>
        <w:t xml:space="preserve"> дочерних обществ </w:t>
      </w:r>
      <w:r>
        <w:rPr>
          <w:spacing w:val="-8"/>
          <w:sz w:val="28"/>
        </w:rPr>
        <w:br/>
        <w:t>и подконтрольных Обществу организаций</w:t>
      </w:r>
      <w:r>
        <w:rPr>
          <w:spacing w:val="-4"/>
          <w:sz w:val="28"/>
        </w:rPr>
        <w:t xml:space="preserve"> </w:t>
      </w:r>
      <w:r>
        <w:rPr>
          <w:sz w:val="28"/>
        </w:rPr>
        <w:t>сроки предоставления запрашиваемых документов, материалов и информации.</w:t>
      </w:r>
      <w:r>
        <w:t xml:space="preserve"> 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3.5. Заседания Комиссии проводятся по мере необходимости, но не реже одного раза в квартал в очной или заочной форме. Заседание Комиссии является правомочным при участии в нем не менее половины от общего числа ее членов, без учета ассоциированного члена Комиссии.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При очной форме проведения заседания Комиссии решения принимаются открытым голосованием простым большинством голосов от числа членов Комиссии, присутствующих на заседании.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При заочной форме проведения заседания Комиссии голосование осуществляется бюллетенями, которые направляются ее членам в соответствии с настоящим Положением. Бюллетени для голосования должны содержать указание на дату представления заполненного бюллетеня.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 xml:space="preserve">В случае равенства голосов решающим является голос председателя Комиссии, а в его отсутствие – заместителя председателя Комиссии. 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3.6. Повестка заседания Комиссии, служебная записка о созыве заседания Комиссии с указанием формы, даты, времени и места его проведения, подписанные председателем Комиссии (в его отсутствие – заместителем председателя Комиссии), информационные материалы и бюллетени для голосования (при проведении заседания в заочной форме) направляются членам Комиссии за 5 календарных дней до даты проведения заседания Комиссии. В исключительных случаях при необходимости принятия оперативных решений указанный срок может быть сокращен по решению председателя Комиссии </w:t>
      </w:r>
      <w:r>
        <w:rPr>
          <w:sz w:val="28"/>
        </w:rPr>
        <w:br/>
        <w:t>(в его отсутствие – заместителя председателя Комиссии).</w:t>
      </w:r>
    </w:p>
    <w:p w:rsidR="00E462F9" w:rsidRDefault="009F043F">
      <w:pPr>
        <w:pStyle w:val="25"/>
        <w:keepLines/>
        <w:ind w:firstLine="709"/>
      </w:pPr>
      <w:r>
        <w:t xml:space="preserve">3.7. Итоги голосования членов Комиссии оформляются протоколом </w:t>
      </w:r>
      <w:r>
        <w:br/>
        <w:t>в течение 3 календарных дней с даты проведения заседания. Протокол подписывается председателем Комиссии (в его отсутствие – заместителем председателя Комиссии) и секретарем Комиссии.</w:t>
      </w:r>
    </w:p>
    <w:p w:rsidR="00E462F9" w:rsidRDefault="009F043F">
      <w:pPr>
        <w:pStyle w:val="25"/>
        <w:ind w:firstLine="709"/>
      </w:pPr>
      <w:r>
        <w:t xml:space="preserve">При принятии Комиссией решений заочным голосованием протокол заседания оформляется в течение 3 календарных дней с даты, установленной для представления заполненных бюллетеней. К протоколу прилагаются подписанные членами Комиссии бюллетени для голосования. Бюллетень члена Комиссии, не представленный секретарю Комиссии в установленный </w:t>
      </w:r>
      <w:r>
        <w:br/>
        <w:t xml:space="preserve">для голосования </w:t>
      </w:r>
      <w:proofErr w:type="gramStart"/>
      <w:r>
        <w:t>срок</w:t>
      </w:r>
      <w:proofErr w:type="gramEnd"/>
      <w:r>
        <w:t xml:space="preserve"> либо заполненный ненадлежащим образом, </w:t>
      </w:r>
      <w:r>
        <w:br/>
        <w:t>при подведении итогов голосования не учитывается.</w:t>
      </w:r>
    </w:p>
    <w:p w:rsidR="00E462F9" w:rsidRDefault="009F043F">
      <w:pPr>
        <w:pStyle w:val="25"/>
        <w:keepLines/>
        <w:ind w:firstLine="709"/>
      </w:pPr>
      <w:r>
        <w:t>Члены Комиссии, голосовавшие против принятого решения, воздержавшиеся, а также ассоциированный член вправе в письменной форме изложить свое особое мнение, которое приобщается к протоколу заседания Комиссии.</w:t>
      </w:r>
    </w:p>
    <w:p w:rsidR="00E462F9" w:rsidRDefault="009F043F">
      <w:pPr>
        <w:pStyle w:val="25"/>
        <w:keepLines/>
        <w:ind w:firstLine="709"/>
      </w:pPr>
      <w:r>
        <w:t>Протокол заседания Комиссии должен содержать информацию о членах Комиссии, проголосовавших по вопросам повестки заседания, результатах голосования, а также о принятых на заседании решениях.</w:t>
      </w:r>
    </w:p>
    <w:p w:rsidR="00E462F9" w:rsidRDefault="009F043F">
      <w:pPr>
        <w:pStyle w:val="25"/>
        <w:ind w:firstLine="709"/>
      </w:pPr>
      <w:r>
        <w:t>3.8. Организацию и координацию работ по реализации решений Комиссии осуществляет заместитель руководителя Общества, к компетенции которого относятся вопросы, связанные с управлением и реализацией имущества Общества, его дочерних обществ и подконтрольных Обществу организаций.</w:t>
      </w:r>
    </w:p>
    <w:p w:rsidR="00E462F9" w:rsidRDefault="009F043F">
      <w:pPr>
        <w:pStyle w:val="25"/>
        <w:ind w:firstLine="709"/>
      </w:pPr>
      <w:r>
        <w:t xml:space="preserve">3.9. Решение Комиссии (выписки из протокола заседания Комиссии) направляются для исполнения в соответствующее структурное подразделение Общества, дочернее общество или подконтрольную Обществу организацию </w:t>
      </w:r>
      <w:r>
        <w:br/>
        <w:t>в течение 3 рабочих дней с даты оформления соответствующего протокола Комиссии.</w:t>
      </w:r>
    </w:p>
    <w:p w:rsidR="00E462F9" w:rsidRDefault="009F043F">
      <w:pPr>
        <w:keepNext/>
        <w:spacing w:before="240" w:after="120"/>
        <w:jc w:val="center"/>
        <w:rPr>
          <w:b/>
          <w:bCs/>
          <w:sz w:val="28"/>
        </w:rPr>
      </w:pPr>
      <w:r>
        <w:rPr>
          <w:b/>
          <w:bCs/>
          <w:sz w:val="28"/>
        </w:rPr>
        <w:t>4. Права и обязанности председателя, секретаря и членов Комиссии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 xml:space="preserve">4.1. Председателем Комиссии назначается заместитель руководителя Общества, одной из основных задач которого является формирование </w:t>
      </w:r>
      <w:r>
        <w:rPr>
          <w:sz w:val="28"/>
        </w:rPr>
        <w:br/>
        <w:t>и реализация единой политики по управлению активами Общества, а также дочерних обществ и подконтрольных Обществу организаций, включая непрофильные активы. В отсутствие Председателя Комиссии обязанности Председателя исполняет его заместитель.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Председатель Комиссии: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организует работу Комиссии и выполнение возложенных на нее задач;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созывает, проводит заседания Комиссии и председательствует на них;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обеспечивает коллегиальное обсуждение рассматриваемых вопросов;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при необходимости дает поручение членам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контролирует исполнение решений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 xml:space="preserve">вправе отменить решения Комиссий дочерних обществ и подконтрольных Обществу организаций об отнесении активов к категории непрофильных, </w:t>
      </w:r>
      <w:r>
        <w:rPr>
          <w:sz w:val="28"/>
        </w:rPr>
        <w:br/>
        <w:t>а также о целесообразности применения способов их отчуждения.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4.2. Заместителем Председателя Комиссии назначается лицо, замещающее в соответствии с локальными нормативными актами Общества заместителя руководителя Общества, одной из основных задач которого является формирование и реализация единой политики по управлению активами Общества, его дочерних обществ и подконтрольных Обществу организаций, включая непрофильные активы.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4.3. Секретарь Комиссии назначается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из числа работников </w:t>
      </w:r>
      <w:r>
        <w:rPr>
          <w:sz w:val="28"/>
          <w:szCs w:val="28"/>
        </w:rPr>
        <w:t>Общества</w:t>
      </w:r>
      <w:r>
        <w:rPr>
          <w:sz w:val="28"/>
        </w:rPr>
        <w:t>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Секретарь Комиссии: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формирует повестку заседания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осуществляет рассылку бюллетеней для голосования (в случае проведения заседания в заочной форме), документов и материалов к заседаниям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информирует членов Комиссии о проведении ее заседания;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осуществляет прием заполненных членами Комиссии бюллетеней для голосования (в случае проведения заседания в заочной форме);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ведет протоколы заседаний Комиссии и осуществляет подготовку протоколов по результатам заочного голосования;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организовывает рассылку выписок из протоколов заседаний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ведет документооборот в рамках деятельности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формирует документы Комиссии для передачи на архивное хранение.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4.4. Члены Комиссии: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 xml:space="preserve">лично присутствуют на очных заседаниях Комиссии или голосуют посредством бюллетеней при заочном заседании Комиссии, участвуют </w:t>
      </w:r>
      <w:r>
        <w:rPr>
          <w:sz w:val="28"/>
        </w:rPr>
        <w:br/>
        <w:t>в обсуждении рассматриваемых вопросов и в выработке решений по ним, голосуют по вопросам, включенным в повестки заседаний Комиссий;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представляют в пределах своей компетенции информацию по вопросам, рассматриваемым на заседаниях Комиссии;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обеспечивают в пределах своей компетенции выполнение решений Комиссии.</w:t>
      </w:r>
    </w:p>
    <w:p w:rsidR="00E462F9" w:rsidRDefault="009F043F">
      <w:pPr>
        <w:ind w:firstLine="709"/>
        <w:jc w:val="both"/>
        <w:rPr>
          <w:sz w:val="28"/>
        </w:rPr>
      </w:pPr>
      <w:r>
        <w:rPr>
          <w:sz w:val="28"/>
        </w:rPr>
        <w:t>Члены Комиссии не должны использовать полученную в рамках выполнения своих обязанностей информацию в личных интересах.</w:t>
      </w:r>
    </w:p>
    <w:p w:rsidR="00E462F9" w:rsidRDefault="009F043F">
      <w:pPr>
        <w:keepNext/>
        <w:spacing w:before="240" w:after="120"/>
        <w:jc w:val="center"/>
        <w:rPr>
          <w:b/>
          <w:bCs/>
          <w:sz w:val="28"/>
        </w:rPr>
      </w:pPr>
      <w:r>
        <w:rPr>
          <w:b/>
          <w:bCs/>
          <w:sz w:val="28"/>
        </w:rPr>
        <w:t>5. Отчет о ходе работы Комиссии</w:t>
      </w:r>
    </w:p>
    <w:p w:rsidR="00E462F9" w:rsidRDefault="009F043F">
      <w:pPr>
        <w:pStyle w:val="25"/>
        <w:ind w:firstLine="709"/>
      </w:pPr>
      <w:r>
        <w:t xml:space="preserve">Отчет о ходе работы Комиссии Общества по непрофильным активам ежегодно, не позднее 15 марта года, следующего за отчетным, направляется </w:t>
      </w:r>
      <w:r>
        <w:br/>
        <w:t xml:space="preserve">в ООО «Газпром межрегионгаз». </w:t>
      </w:r>
    </w:p>
    <w:p w:rsidR="00E462F9" w:rsidRDefault="00E462F9">
      <w:pPr>
        <w:pStyle w:val="25"/>
        <w:ind w:firstLine="0"/>
        <w:rPr>
          <w:b/>
        </w:rPr>
      </w:pPr>
    </w:p>
    <w:p w:rsidR="00E462F9" w:rsidRDefault="00E462F9">
      <w:pPr>
        <w:pStyle w:val="25"/>
        <w:ind w:firstLine="0"/>
        <w:rPr>
          <w:b/>
        </w:rPr>
      </w:pPr>
    </w:p>
    <w:tbl>
      <w:tblPr>
        <w:tblW w:w="9792" w:type="dxa"/>
        <w:tblLook w:val="04A0" w:firstRow="1" w:lastRow="0" w:firstColumn="1" w:lastColumn="0" w:noHBand="0" w:noVBand="1"/>
      </w:tblPr>
      <w:tblGrid>
        <w:gridCol w:w="5387"/>
        <w:gridCol w:w="2043"/>
        <w:gridCol w:w="2362"/>
      </w:tblGrid>
      <w:tr w:rsidR="00E462F9" w:rsidTr="00C37B81">
        <w:tc>
          <w:tcPr>
            <w:tcW w:w="5387" w:type="dxa"/>
          </w:tcPr>
          <w:p w:rsidR="00E462F9" w:rsidRPr="00131BB0" w:rsidRDefault="00131BB0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131BB0">
              <w:rPr>
                <w:b/>
                <w:sz w:val="28"/>
                <w:szCs w:val="28"/>
              </w:rPr>
              <w:lastRenderedPageBreak/>
              <w:t>Генеральный директор</w:t>
            </w:r>
          </w:p>
          <w:p w:rsidR="00131BB0" w:rsidRDefault="00131BB0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131BB0">
              <w:rPr>
                <w:b/>
                <w:sz w:val="28"/>
                <w:szCs w:val="28"/>
              </w:rPr>
              <w:t>ООО «Газпром межрегионгаз Уфа»</w:t>
            </w:r>
            <w:r w:rsidR="00C37B81">
              <w:rPr>
                <w:b/>
                <w:sz w:val="28"/>
                <w:szCs w:val="28"/>
              </w:rPr>
              <w:t xml:space="preserve"> -</w:t>
            </w:r>
          </w:p>
          <w:p w:rsidR="00C37B81" w:rsidRDefault="00C37B81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управляющей организации</w:t>
            </w:r>
          </w:p>
          <w:p w:rsidR="00C37B81" w:rsidRDefault="00C37B81">
            <w:pPr>
              <w:tabs>
                <w:tab w:val="left" w:pos="1134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ПАО «Газпром газораспределение Уфа»</w:t>
            </w:r>
          </w:p>
        </w:tc>
        <w:tc>
          <w:tcPr>
            <w:tcW w:w="20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462F9" w:rsidRDefault="00E462F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62" w:type="dxa"/>
            <w:vAlign w:val="bottom"/>
          </w:tcPr>
          <w:p w:rsidR="00E462F9" w:rsidRDefault="00131BB0" w:rsidP="00131BB0">
            <w:pPr>
              <w:tabs>
                <w:tab w:val="left" w:pos="1134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 w:rsidR="009F043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Р</w:t>
            </w:r>
            <w:r w:rsidR="009F043F">
              <w:rPr>
                <w:b/>
                <w:sz w:val="28"/>
                <w:szCs w:val="28"/>
              </w:rPr>
              <w:t>. </w:t>
            </w:r>
            <w:r>
              <w:rPr>
                <w:b/>
                <w:sz w:val="28"/>
                <w:szCs w:val="28"/>
              </w:rPr>
              <w:t>Лукманов</w:t>
            </w:r>
          </w:p>
        </w:tc>
      </w:tr>
      <w:tr w:rsidR="00E462F9" w:rsidTr="00C37B81">
        <w:tc>
          <w:tcPr>
            <w:tcW w:w="5387" w:type="dxa"/>
          </w:tcPr>
          <w:p w:rsidR="00E462F9" w:rsidRDefault="009F043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 2024 г.</w:t>
            </w:r>
          </w:p>
          <w:p w:rsidR="00E462F9" w:rsidRDefault="00E462F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462F9" w:rsidRDefault="00E462F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62" w:type="dxa"/>
          </w:tcPr>
          <w:p w:rsidR="00E462F9" w:rsidRDefault="00E462F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E462F9" w:rsidRDefault="00E462F9">
      <w:pPr>
        <w:pStyle w:val="25"/>
        <w:ind w:firstLine="0"/>
      </w:pPr>
    </w:p>
    <w:sectPr w:rsidR="00E462F9">
      <w:headerReference w:type="even" r:id="rId8"/>
      <w:headerReference w:type="default" r:id="rId9"/>
      <w:footerReference w:type="first" r:id="rId10"/>
      <w:type w:val="continuous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BCE" w:rsidRDefault="000F6BCE">
      <w:r>
        <w:separator/>
      </w:r>
    </w:p>
  </w:endnote>
  <w:endnote w:type="continuationSeparator" w:id="0">
    <w:p w:rsidR="000F6BCE" w:rsidRDefault="000F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2F9" w:rsidRDefault="00447CCF">
    <w:pPr>
      <w:jc w:val="center"/>
      <w:rPr>
        <w:sz w:val="28"/>
        <w:szCs w:val="28"/>
      </w:rPr>
    </w:pPr>
    <w:r>
      <w:rPr>
        <w:sz w:val="28"/>
        <w:szCs w:val="28"/>
      </w:rPr>
      <w:t>Уфа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BCE" w:rsidRDefault="000F6BCE">
      <w:r>
        <w:separator/>
      </w:r>
    </w:p>
  </w:footnote>
  <w:footnote w:type="continuationSeparator" w:id="0">
    <w:p w:rsidR="000F6BCE" w:rsidRDefault="000F6BCE">
      <w:r>
        <w:continuationSeparator/>
      </w:r>
    </w:p>
  </w:footnote>
  <w:footnote w:id="1">
    <w:p w:rsidR="00FB1E1C" w:rsidRPr="001F20F9" w:rsidRDefault="00FB1E1C" w:rsidP="00FB1E1C">
      <w:pPr>
        <w:pStyle w:val="aff5"/>
        <w:jc w:val="both"/>
        <w:rPr>
          <w:sz w:val="24"/>
          <w:szCs w:val="24"/>
        </w:rPr>
      </w:pPr>
      <w:r>
        <w:rPr>
          <w:rStyle w:val="afa"/>
        </w:rPr>
        <w:footnoteRef/>
      </w:r>
      <w:r w:rsidRPr="001F20F9">
        <w:rPr>
          <w:sz w:val="24"/>
          <w:szCs w:val="24"/>
        </w:rPr>
        <w:t>В отношении объектов имущества, имеющих одни и те же идентификационные признаки (место нахождения, назначение и другие признаки), а также отчуждаемых в пользу одного приобретателя либо входящих в единый имущественный комплекс, рассматривается суммарная балансовая (остаточная) или рыночная либо кадастровая стоимость имущества (для земельных участков).</w:t>
      </w:r>
    </w:p>
    <w:p w:rsidR="00FB1E1C" w:rsidRDefault="00FB1E1C">
      <w:pPr>
        <w:pStyle w:val="a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2F9" w:rsidRDefault="009F043F">
    <w:pPr>
      <w:pStyle w:val="ac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E462F9" w:rsidRDefault="00E462F9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2F9" w:rsidRDefault="009F043F">
    <w:pPr>
      <w:pStyle w:val="ac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845CC0">
      <w:rPr>
        <w:rStyle w:val="afb"/>
        <w:noProof/>
      </w:rPr>
      <w:t>7</w:t>
    </w:r>
    <w:r>
      <w:rPr>
        <w:rStyle w:val="afb"/>
      </w:rPr>
      <w:fldChar w:fldCharType="end"/>
    </w:r>
  </w:p>
  <w:p w:rsidR="00E462F9" w:rsidRDefault="00E462F9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F4C0D"/>
    <w:multiLevelType w:val="multilevel"/>
    <w:tmpl w:val="D7124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326336CA"/>
    <w:multiLevelType w:val="multilevel"/>
    <w:tmpl w:val="D228E2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F9"/>
    <w:rsid w:val="00006DBD"/>
    <w:rsid w:val="000F6BCE"/>
    <w:rsid w:val="00131BB0"/>
    <w:rsid w:val="002147F1"/>
    <w:rsid w:val="00216746"/>
    <w:rsid w:val="00341B8E"/>
    <w:rsid w:val="003D61D2"/>
    <w:rsid w:val="00402D40"/>
    <w:rsid w:val="00447CCF"/>
    <w:rsid w:val="00512DAE"/>
    <w:rsid w:val="00635F50"/>
    <w:rsid w:val="00657351"/>
    <w:rsid w:val="00675F55"/>
    <w:rsid w:val="006A15A8"/>
    <w:rsid w:val="006F7455"/>
    <w:rsid w:val="00715E9C"/>
    <w:rsid w:val="007535DD"/>
    <w:rsid w:val="00775A9A"/>
    <w:rsid w:val="00823720"/>
    <w:rsid w:val="00845CC0"/>
    <w:rsid w:val="008D07D0"/>
    <w:rsid w:val="008F6722"/>
    <w:rsid w:val="00931FD2"/>
    <w:rsid w:val="009F043F"/>
    <w:rsid w:val="009F0E7E"/>
    <w:rsid w:val="00A50E02"/>
    <w:rsid w:val="00C37B81"/>
    <w:rsid w:val="00C56223"/>
    <w:rsid w:val="00D614C1"/>
    <w:rsid w:val="00E462F9"/>
    <w:rsid w:val="00F043E0"/>
    <w:rsid w:val="00FB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29EA7A-2778-400F-AD33-47EE9019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1">
    <w:name w:val="Текст сноски Знак"/>
    <w:link w:val="af2"/>
    <w:uiPriority w:val="99"/>
    <w:rPr>
      <w:sz w:val="18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Body Text Indent"/>
    <w:basedOn w:val="a"/>
    <w:semiHidden/>
    <w:pPr>
      <w:ind w:left="5580"/>
      <w:jc w:val="center"/>
    </w:pPr>
    <w:rPr>
      <w:sz w:val="28"/>
    </w:rPr>
  </w:style>
  <w:style w:type="paragraph" w:styleId="25">
    <w:name w:val="Body Text Indent 2"/>
    <w:basedOn w:val="a"/>
    <w:semiHidden/>
    <w:pPr>
      <w:ind w:firstLine="720"/>
      <w:jc w:val="both"/>
    </w:pPr>
    <w:rPr>
      <w:sz w:val="28"/>
    </w:rPr>
  </w:style>
  <w:style w:type="character" w:styleId="af9">
    <w:name w:val="Hyperlink"/>
    <w:semiHidden/>
    <w:rPr>
      <w:color w:val="0000FF"/>
      <w:u w:val="single"/>
    </w:rPr>
  </w:style>
  <w:style w:type="paragraph" w:styleId="ac">
    <w:name w:val="header"/>
    <w:basedOn w:val="a"/>
    <w:link w:val="ab"/>
    <w:semiHidden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semiHidden/>
    <w:pPr>
      <w:tabs>
        <w:tab w:val="center" w:pos="4677"/>
        <w:tab w:val="right" w:pos="9355"/>
      </w:tabs>
    </w:pPr>
  </w:style>
  <w:style w:type="paragraph" w:styleId="af2">
    <w:name w:val="footnote text"/>
    <w:basedOn w:val="a"/>
    <w:link w:val="af1"/>
    <w:semiHidden/>
    <w:rPr>
      <w:sz w:val="20"/>
      <w:szCs w:val="20"/>
    </w:rPr>
  </w:style>
  <w:style w:type="character" w:styleId="afa">
    <w:name w:val="footnote reference"/>
    <w:uiPriority w:val="99"/>
    <w:semiHidden/>
    <w:rPr>
      <w:vertAlign w:val="superscript"/>
    </w:rPr>
  </w:style>
  <w:style w:type="character" w:styleId="afb">
    <w:name w:val="page number"/>
    <w:basedOn w:val="a0"/>
    <w:semiHidden/>
  </w:style>
  <w:style w:type="paragraph" w:styleId="afc">
    <w:name w:val="Body Text"/>
    <w:basedOn w:val="a"/>
    <w:semiHidden/>
    <w:pPr>
      <w:ind w:right="4111"/>
      <w:jc w:val="both"/>
    </w:pPr>
    <w:rPr>
      <w:sz w:val="28"/>
      <w:szCs w:val="20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Bodytext4">
    <w:name w:val="Body text (4)_"/>
    <w:link w:val="Bodytext40"/>
    <w:rPr>
      <w:b/>
      <w:bCs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pPr>
      <w:widowControl w:val="0"/>
      <w:shd w:val="clear" w:color="auto" w:fill="FFFFFF"/>
      <w:spacing w:line="364" w:lineRule="exact"/>
      <w:jc w:val="center"/>
    </w:pPr>
    <w:rPr>
      <w:b/>
      <w:bCs/>
      <w:sz w:val="26"/>
      <w:szCs w:val="26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"/>
    <w:link w:val="aff0"/>
    <w:uiPriority w:val="99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</w:r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character" w:customStyle="1" w:styleId="27">
    <w:name w:val="Основной текст 2 Знак"/>
    <w:link w:val="26"/>
    <w:uiPriority w:val="99"/>
    <w:semiHidden/>
    <w:rPr>
      <w:sz w:val="24"/>
      <w:szCs w:val="24"/>
    </w:rPr>
  </w:style>
  <w:style w:type="character" w:customStyle="1" w:styleId="aff3">
    <w:name w:val="Основной текст_"/>
    <w:link w:val="13"/>
    <w:rPr>
      <w:sz w:val="26"/>
      <w:szCs w:val="26"/>
    </w:rPr>
  </w:style>
  <w:style w:type="paragraph" w:customStyle="1" w:styleId="13">
    <w:name w:val="Основной текст1"/>
    <w:basedOn w:val="a"/>
    <w:link w:val="aff3"/>
    <w:pPr>
      <w:widowControl w:val="0"/>
      <w:spacing w:line="257" w:lineRule="auto"/>
      <w:ind w:firstLine="400"/>
    </w:pPr>
    <w:rPr>
      <w:sz w:val="26"/>
      <w:szCs w:val="26"/>
    </w:rPr>
  </w:style>
  <w:style w:type="character" w:customStyle="1" w:styleId="aff4">
    <w:name w:val="Сноска_"/>
    <w:link w:val="aff5"/>
  </w:style>
  <w:style w:type="paragraph" w:customStyle="1" w:styleId="aff5">
    <w:name w:val="Сноска"/>
    <w:basedOn w:val="a"/>
    <w:link w:val="aff4"/>
    <w:pPr>
      <w:widowControl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EBC99-7121-44BA-8405-486A8B07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MRG</Company>
  <LinksUpToDate>false</LinksUpToDate>
  <CharactersWithSpaces>13335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U4800103</dc:creator>
  <cp:keywords/>
  <dc:description/>
  <cp:lastModifiedBy>Гайнутдинова Виктория Анатольевна</cp:lastModifiedBy>
  <cp:revision>2</cp:revision>
  <dcterms:created xsi:type="dcterms:W3CDTF">2024-07-26T05:49:00Z</dcterms:created>
  <dcterms:modified xsi:type="dcterms:W3CDTF">2024-07-26T05:49:00Z</dcterms:modified>
</cp:coreProperties>
</file>